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Erfüllung ihrer Amtspflichten genießen die Geistlichen den Schutz des Staates.</w:t>
      </w:r>
    </w:p>
    <w:p>
      <w:r>
        <w:t xml:space="preserve">(2) Jede öffentliche Verächtlichmachung der Religion, ihrer Einrichtungen, der Geistlichen und Ordensleute in ihrer Eigenschaft als Religionsdiener ist verboten und strafbar.</w:t>
      </w:r>
    </w:p>
    <w:p>
      <w:r>
        <w:t xml:space="preserve">(3) Geistliche können vor Gerichten und anderen Behörden nicht um Auskunft über Tatsachen angehalten werden, die ihnen in ihrer Eigenschaft als Seelsorger anvertraut worden sind.</w:t>
      </w:r>
    </w:p>
    <w:p>
      <w:r>
        <w:rPr>
          <w:color w:val="555555"/>
          <w:sz w:val="17"/>
        </w:rPr>
        <w:t xml:space="preserve">Zitiervorschlag: Art 144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