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143 BayVerf (Bayern)</w:t>
      </w:r>
    </w:p>
    <w:p>
      <w:r>
        <w:rPr>
          <w:color w:val="555555"/>
          <w:sz w:val="18"/>
        </w:rPr>
        <w:t xml:space="preserve">Verfassung des Freistaates Bayern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Religionsgemeinschaften und weltanschaulichen Gemeinschaften erwerben die Rechtsfähigkeit nach den Vorschriften des bürgerlichen Rechts.</w:t>
      </w:r>
    </w:p>
    <w:p>
      <w:r>
        <w:t xml:space="preserve">(2) Kirchen und anerkannte Religionsgemeinschaften bleiben Körperschaften des öffentlichen Rechts, soweit sie es bisher waren. Anderen anerkannten Religionsgemeinschaften sowie solchen weltanschaulichen Gemeinschaften, deren Bestrebungen den allgemein geltenden Gesetzen nicht widersprechen, sind nach einer Bestandszeit von fünf Jahren auf Antrag die gleichen Rechte zu gewähren.</w:t>
      </w:r>
    </w:p>
    <w:p>
      <w:r>
        <w:t xml:space="preserve">(3) Kirchen und Religionsgemeinschaften sowie weltanschauliche Gemeinschaften, die Körperschaften des öffentlichen Rechts sind, dürfen auf Grund der öffentlichen Steuerlisten Steuern erheben.</w:t>
      </w:r>
    </w:p>
    <w:p>
      <w:r>
        <w:rPr>
          <w:color w:val="555555"/>
          <w:sz w:val="17"/>
        </w:rPr>
        <w:t xml:space="preserve">Zitiervorschlag: Art 143 BayVerf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https://recht.nulegal.eu/gesetze/BayVerf/143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