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142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Es besteht keine Staatskirche.</w:t>
      </w:r>
    </w:p>
    <w:p>
      <w:r>
        <w:t xml:space="preserve">(2) Die Freiheit der Vereinigung zu gemeinsamer Hausandacht, zu öffentlichen Kulthandlungen und Religionsgemeinschaften sowie deren Zusammenschluß innerhalb Bayerns unterliegen im Rahmen der allgemein geltenden Gesetze keinerlei Beschränkung.</w:t>
      </w:r>
    </w:p>
    <w:p>
      <w:r>
        <w:t xml:space="preserve">(3) Kirchen und anerkannte Religionsgemeinschaften sowie solche weltanschauliche Gemeinschaften, deren Bestrebungen den allgemein geltenden Gesetzen nicht widersprechen, sind von staatlicher Bevormundung frei. Sie ordnen und verwalten ihre Angelegenheiten innerhalb der Schranken der für alle geltenden Gesetze selbständig. Sie verleihen ihre Ämter ohne Mitwirkung des Staates oder der politischen Gemeinde.</w:t>
      </w:r>
    </w:p>
    <w:p>
      <w:r>
        <w:rPr>
          <w:color w:val="555555"/>
          <w:sz w:val="17"/>
        </w:rPr>
        <w:t xml:space="preserve">Zitiervorschlag: Art 142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