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Kunst und Wissenschaft sind von Staat und Gemeinde zu fördern.</w:t>
      </w:r>
    </w:p>
    <w:p>
      <w:r>
        <w:t xml:space="preserve">(2) Sie haben insbesonders Mittel zur Unterstützung schöpferischer Künstler, Gelehrter und Schriftsteller bereitzustellen, die den Nachweis ernster künstlerischer oder kultureller Tätigkeit erbringen.</w:t>
      </w:r>
    </w:p>
    <w:p>
      <w:r>
        <w:t xml:space="preserve">(3) Das kulturelle Leben und der Sport sind von Staat und Gemeinden zu fördern.</w:t>
      </w:r>
    </w:p>
    <w:p>
      <w:r>
        <w:rPr>
          <w:color w:val="555555"/>
          <w:sz w:val="17"/>
        </w:rPr>
        <w:t xml:space="preserve">Zitiervorschlag: Art 140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