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137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Teilnahme am Religionsunterricht und an kirchlichen Handlungen und Feierlichkeiten bleibt der Willenserklärung der Erziehungsberechtigten, vom vollendeten 18. Lebensjahr ab der Willenserklärung der Schüler überlassen.</w:t>
      </w:r>
    </w:p>
    <w:p>
      <w:r>
        <w:t xml:space="preserve">(2) Für Schüler, die nicht am Religionsunterricht teilnehmen, ist ein Unterricht über die allgemein anerkannten Grundsätze der Sittlichkeit einzurichten.</w:t>
      </w:r>
    </w:p>
    <w:p>
      <w:r>
        <w:rPr>
          <w:color w:val="555555"/>
          <w:sz w:val="17"/>
        </w:rPr>
        <w:t xml:space="preserve">Zitiervorschlag: Art 137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