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allen Schulen sind beim Unterricht die religiösen Empfindungen aller zu achten.</w:t>
      </w:r>
    </w:p>
    <w:p>
      <w:r>
        <w:t xml:space="preserve">(2) Der Religionsunterricht ist ordentliches Lehrfach aller Volksschulen, Berufsschulen, mittleren und höheren Lehranstalten. Er wird erteilt in Übereinstimmung mit den Grundsätzen der betreffenden Religionsgemeinschaft.</w:t>
      </w:r>
    </w:p>
    <w:p>
      <w:r>
        <w:t xml:space="preserve">(3) Kein Lehrer kann gezwungen oder gehindert werden, Religionsunterricht zu erteilen.</w:t>
      </w:r>
    </w:p>
    <w:p>
      <w:r>
        <w:t xml:space="preserve">(4) Die Lehrer bedürfen der Bevollmächtigung durch die Religionsgemeinschaften zur Erteilung des Religionsunterrichts.</w:t>
      </w:r>
    </w:p>
    <w:p>
      <w:r>
        <w:t xml:space="preserve">(5) Die erforderlichen Schulräume sind zur Verfügung zu stellen.</w:t>
      </w:r>
    </w:p>
    <w:p>
      <w:r>
        <w:rPr>
          <w:color w:val="555555"/>
          <w:sz w:val="17"/>
        </w:rPr>
        <w:t xml:space="preserve">Zitiervorschlag: Art 136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