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Bildung der Jugend ist durch öffentliche Anstalten zu sorgen. Bei ihrer Einrichtung wirken Staat und Gemeinde zusammen. Auch die anerkannten Religionsgemeinschaften und weltanschaulichen Gemeinschaften sind Bildungsträger.</w:t>
      </w:r>
    </w:p>
    <w:p>
      <w:r>
        <w:t xml:space="preserve">(2) Die Lehrer an öffentlichen Schulen haben grundsätzlich die Rechte und Pflichten der Staatsbeamten.</w:t>
      </w:r>
    </w:p>
    <w:p>
      <w:r>
        <w:rPr>
          <w:color w:val="555555"/>
          <w:sz w:val="17"/>
        </w:rPr>
        <w:t xml:space="preserve">Zitiervorschlag: Art 133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