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131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Schulen sollen nicht nur Wissen und Können vermitteln, sondern auch Herz und Charakter bilden.</w:t>
      </w:r>
    </w:p>
    <w:p>
      <w:r>
        <w:t xml:space="preserve">(2) Oberste Bildungsziele sind Ehrfurcht vor Gott, Achtung vor religiöser Überzeugung und vor der Würde des Menschen, Selbstbeherrschung, Verantwortungsgefühl und Verantwortungsfreudigkeit, Hilfsbereitschaft, Aufgeschlossenheit für alles Wahre, Gute und Schöne und Verantwortungsbewußtsein für Natur und Umwelt.</w:t>
      </w:r>
    </w:p>
    <w:p>
      <w:r>
        <w:t xml:space="preserve">(3) Die Schüler sind im Geiste der Demokratie, in der Liebe zur bayerischen Heimat und zum deutschen Volk und im Sinne der Völkerversöhnung zu erziehen.</w:t>
      </w:r>
    </w:p>
    <w:p>
      <w:r>
        <w:t xml:space="preserve">(4) Die Mädchen und Buben sind außerdem in der Säuglingspflege, Kindererziehung und Hauswirtschaft besonders zu unterweisen.</w:t>
      </w:r>
    </w:p>
    <w:p>
      <w:r>
        <w:rPr>
          <w:color w:val="555555"/>
          <w:sz w:val="17"/>
        </w:rPr>
        <w:t xml:space="preserve">Zitiervorschlag: Art 131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