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Landtag besteht aus 180 Abgeordneten des bayerischen Volkes.</w:t>
      </w:r>
    </w:p>
    <w:p>
      <w:r>
        <w:t xml:space="preserve">(2) Die Abgeordneten sind Vertreter des Volkes, nicht nur einer Partei. Sie sind nur ihrem Gewissen verantwortlich und an Aufträge nicht gebunden.</w:t>
      </w:r>
    </w:p>
    <w:p>
      <w:r>
        <w:t xml:space="preserve">[Amtl. Anm.:] Für den 14. Landtag s. § 2 Abs. 3 Nr. 2 des Gesetzes vom 20. Februar 1998 (GVBl. S. 39).</w:t>
      </w:r>
    </w:p>
    <w:p>
      <w:r>
        <w:rPr>
          <w:color w:val="555555"/>
          <w:sz w:val="17"/>
        </w:rPr>
        <w:t xml:space="preserve">Zitiervorschlag: Art 13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