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Kinder sind zum Besuch der Volksschule und der Berufsschule verpflichtet.</w:t>
      </w:r>
    </w:p>
    <w:p>
      <w:r>
        <w:t xml:space="preserve">(2) Der Unterricht an diesen Schulen ist unentgeltlich.</w:t>
      </w:r>
    </w:p>
    <w:p>
      <w:r>
        <w:rPr>
          <w:color w:val="555555"/>
          <w:sz w:val="17"/>
        </w:rPr>
        <w:t xml:space="preserve">Zitiervorschlag: Art 129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