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128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Jeder Bewohner Bayerns hat Anspruch darauf, eine seinen erkennbaren Fähigkeiten und seiner inneren Berufung entsprechende Ausbildung zu erhalten.</w:t>
      </w:r>
    </w:p>
    <w:p>
      <w:r>
        <w:t xml:space="preserve">(2) Begabten ist der Besuch von Schulen und Hochschulen, nötigenfalls aus öffentlichen Mitteln zu ermöglichen.</w:t>
      </w:r>
    </w:p>
    <w:p>
      <w:r>
        <w:rPr>
          <w:color w:val="555555"/>
          <w:sz w:val="17"/>
        </w:rPr>
        <w:t xml:space="preserve">Zitiervorschlag: Art 128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https://recht.nulegal.eu/gesetze/BayVerf/128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