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127 BayVerf (Bayern)</w:t>
      </w:r>
    </w:p>
    <w:p>
      <w:r>
        <w:rPr>
          <w:color w:val="555555"/>
          <w:sz w:val="18"/>
        </w:rPr>
        <w:t xml:space="preserve">Verfassung des Freistaates Bayern</w:t>
      </w:r>
    </w:p>
    <w:p>
      <w:r>
        <w:rPr>
          <w:color w:val="555555"/>
          <w:sz w:val="18"/>
        </w:rPr>
        <w:t xml:space="preserve">Landesrecht Bayern</w:t>
      </w:r>
    </w:p>
    <w:p>
      <w:r>
        <w:rPr>
          <w:color w:val="555555"/>
          <w:sz w:val="18"/>
        </w:rPr>
        <w:t xml:space="preserve">Stand: 25.08.2026 (konsolidierte Textfassung, kein amtliches Inkrafttretensdatum)</w:t>
      </w:r>
    </w:p>
    <w:p>
      <w:r>
        <w:t xml:space="preserve">Das eigene Recht der Religionsgemeinschaften und staatlich anerkannten weltanschaulichen Gemeinschaften auf einen angemessenen Einfluß bei der Erziehung der Kinder ihres Bekenntnisses oder ihrer Weltanschauung wird unbeschadet des Erziehungsrechtes der Eltern gewährleistet.</w:t>
      </w:r>
    </w:p>
    <w:p>
      <w:r>
        <w:rPr>
          <w:color w:val="555555"/>
          <w:sz w:val="17"/>
        </w:rPr>
        <w:t xml:space="preserve">Zitiervorschlag: Art 127 BayVerf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https://recht.nulegal.eu/gesetze/BayVerf/127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