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125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Kinder sind das köstlichste Gut eines Volkes. Sie haben Anspruch auf Entwicklung zu selbstbestimmungsfähigen und verantwortungsfähigen Persönlichkeiten. Jede Mutter hat Anspruch auf den Schutz und die Fürsorge des Staates.</w:t>
      </w:r>
    </w:p>
    <w:p>
      <w:r>
        <w:t xml:space="preserve">(2) Die Reinhaltung, Gesundung und soziale Förderung der Familie ist gemeinsame Aufgabe des Staates und der Gemeinden.</w:t>
      </w:r>
    </w:p>
    <w:p>
      <w:r>
        <w:t xml:space="preserve">(3) Kinderreiche Familien haben Anspruch auf angemessene Fürsorge, insbesondere auf gesunde Wohnungen.</w:t>
      </w:r>
    </w:p>
    <w:p>
      <w:r>
        <w:rPr>
          <w:color w:val="555555"/>
          <w:sz w:val="17"/>
        </w:rPr>
        <w:t xml:space="preserve">Zitiervorschlag: Art 125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