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124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Ehe und Familie sind die natürliche und sittliche Grundlage der menschlichen Gemeinschaft und stehen unter dem besonderen Schutz des Staates.</w:t>
      </w:r>
    </w:p>
    <w:p>
      <w:r>
        <w:t xml:space="preserve">(2) Mann und Frau haben in der Ehe grundsätzlich die gleichen bürgerlichen Rechte und Pflichten.</w:t>
      </w:r>
    </w:p>
    <w:p>
      <w:r>
        <w:rPr>
          <w:color w:val="555555"/>
          <w:sz w:val="17"/>
        </w:rPr>
        <w:t xml:space="preserve">Zitiervorschlag: Art 124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