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Alle sind im Verhältnis ihres Einkommens und Vermögens und unter Berücksichtigung ihrer Unterhaltspflicht zu den öffentlichen Lasten heranzuziehen.</w:t>
      </w:r>
    </w:p>
    <w:p>
      <w:r>
        <w:t xml:space="preserve">(2) Verbrauchssteuern und Besitzsteuern müssen zueinander in einem angemessenen Verhältnis stehen.</w:t>
      </w:r>
    </w:p>
    <w:p>
      <w:r>
        <w:t xml:space="preserve">(3) Die Erbschaftssteuer dient auch dem Zwecke, die Ansammlung von Riesenvermögen in den Händen einzelner zu verhindern. Sie ist nach dem Verwandtschaftsverhältnis zu staffeln.</w:t>
      </w:r>
    </w:p>
    <w:p>
      <w:r>
        <w:rPr>
          <w:color w:val="555555"/>
          <w:sz w:val="17"/>
        </w:rPr>
        <w:t xml:space="preserve">Zitiervorschlag: Art 123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