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Grundsätze für die Wahl zum Landtag gelten auch für die Gemeinden und Gemeindeverbände.</w:t>
      </w:r>
    </w:p>
    <w:p>
      <w:r>
        <w:t xml:space="preserve">(2) Das Vermögen der Gemeinden und Gemeindeverbände kann unter keinen Umständen zum Staatsvermögen gezogen werden. Die Vergabung solchen Vermögens ist unzulässig.</w:t>
      </w:r>
    </w:p>
    <w:p>
      <w:r>
        <w:t xml:space="preserve">(3) Die Staatsbürger haben das Recht, Angelegenheiten des eigenen Wirkungskreises der Gemeinden und Landkreise durch Bürgerbegehren und Bürgerentscheid zu regeln. Das Nähere regelt ein Gesetz.</w:t>
      </w:r>
    </w:p>
    <w:p>
      <w:r>
        <w:rPr>
          <w:color w:val="555555"/>
          <w:sz w:val="17"/>
        </w:rPr>
        <w:t xml:space="preserve">Zitiervorschlag: Art 12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