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115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Alle Bewohner Bayerns haben das Recht, sich schriftlich mit Bitten oder Beschwerden an die zuständigen Behörden oder an den Landtag zu wenden.</w:t>
      </w:r>
    </w:p>
    <w:p>
      <w:r>
        <w:t xml:space="preserve">(2) Die Rechte des Landtags zur Überprüfung von Beschwerden werden durch Gesetz geregelt.</w:t>
      </w:r>
    </w:p>
    <w:p>
      <w:r>
        <w:rPr>
          <w:color w:val="555555"/>
          <w:sz w:val="17"/>
        </w:rPr>
        <w:t xml:space="preserve">Zitiervorschlag: Art 115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