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114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Alle Bewohner Bayerns haben das Recht, Vereine und Gesellschaften zu bilden.</w:t>
      </w:r>
    </w:p>
    <w:p>
      <w:r>
        <w:t xml:space="preserve">(2) Vereine und Gesellschaften, die rechts- oder sittenwidrige Zwecke verfolgen oder solche Mittel gebrauchen oder die darauf ausgehen, die staatsbürgerlichen Freiheiten zu vernichten oder gegen Volk, Staat oder Verfassung Gewalt anzuwenden, können verboten werden.</w:t>
      </w:r>
    </w:p>
    <w:p>
      <w:r>
        <w:t xml:space="preserve">(3) Der Erwerb der Rechtsfähigkeit steht jedem Verein gemäß den Vorschriften des bürgerlichen Rechts frei.</w:t>
      </w:r>
    </w:p>
    <w:p>
      <w:r>
        <w:rPr>
          <w:color w:val="555555"/>
          <w:sz w:val="17"/>
        </w:rPr>
        <w:t xml:space="preserve">Zitiervorschlag: Art 114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