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Brief-, Post-, Telegraphen- und Fernsprechgeheimnis ist unverletzlich.</w:t>
      </w:r>
    </w:p>
    <w:p>
      <w:r>
        <w:t xml:space="preserve">(2) Beschränkungen des Rundfunkempfanges sowie des Bezuges von Druck-Erzeugnissen sind unzulässig.</w:t>
      </w:r>
    </w:p>
    <w:p>
      <w:r>
        <w:rPr>
          <w:color w:val="555555"/>
          <w:sz w:val="17"/>
        </w:rPr>
        <w:t xml:space="preserve">Zitiervorschlag: Art 112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