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Jeder Bewohner Bayerns hat das Recht, seine Meinung durch Wort, Schrift, Druck, Bild oder in sonstiger Weise frei zu äußern. An diesem Recht darf ihn kein Arbeits- und Anstellungsvertrag hindern und niemand darf ihn benachteiligen, wenn er von diesem Recht Gebrauch macht.</w:t>
      </w:r>
    </w:p>
    <w:p>
      <w:r>
        <w:t xml:space="preserve">(2) Die Bekämpfung von Schmutz und Schund ist Aufgabe des Staates und der Gemeinden.</w:t>
      </w:r>
    </w:p>
    <w:p>
      <w:r>
        <w:rPr>
          <w:color w:val="555555"/>
          <w:sz w:val="17"/>
        </w:rPr>
        <w:t xml:space="preserve">Zitiervorschlag: Art 110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