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Alle Bewohner Bayerns genießen volle Freizügigkeit. Sie haben das Recht, sich an jedem beliebigen Ort aufzuhalten und niederzulassen, Grundstücke zu erwerben und jeden Erwerbszweig zu betreiben.</w:t>
      </w:r>
    </w:p>
    <w:p>
      <w:r>
        <w:t xml:space="preserve">(2) Alle Bewohner Bayerns sind berechtigt, nach außerdeutschen Ländern auszuwandern.</w:t>
      </w:r>
    </w:p>
    <w:p>
      <w:r>
        <w:rPr>
          <w:color w:val="555555"/>
          <w:sz w:val="17"/>
        </w:rPr>
        <w:t xml:space="preserve">Zitiervorschlag: Art 109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https://recht.nulegal.eu/gesetze/BayVerf/109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