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107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Glaubens- und Gewissensfreiheit ist gewährleistet.</w:t>
      </w:r>
    </w:p>
    <w:p>
      <w:r>
        <w:t xml:space="preserve">(2) Die ungestörte Religionsausübung steht unter staatlichem Schutz.</w:t>
      </w:r>
    </w:p>
    <w:p>
      <w:r>
        <w:t xml:space="preserve">(3) Durch das religiöse Bekenntnis wird der Genuß der bürgerlichen und staatsbürgerlichen Rechte weder bedingt noch beschränkt. Den staatsbürgerlichen Pflichten darf es keinen Abbruch tun.</w:t>
      </w:r>
    </w:p>
    <w:p>
      <w:r>
        <w:t xml:space="preserve">(4) Die Zulassung zu den öffentlichen Ämtern ist von dem religiösen Bekenntnis unabhängig.</w:t>
      </w:r>
    </w:p>
    <w:p>
      <w:r>
        <w:t xml:space="preserve">(5) Niemand ist verpflichtet, seine religiöse Überzeugung zu offenbaren. Die Behörden haben nur soweit das Recht, nach der Zugehörigkeit zu einer Religionsgemeinschaft zu fragen, als davon Rechte und Pflichten abhängen oder eine gesetzlich angeordnete statistische Erhebung dies erfordert.</w:t>
      </w:r>
    </w:p>
    <w:p>
      <w:r>
        <w:t xml:space="preserve">(6) Niemand darf zu einer kirchlichen Handlung oder zur Teilnahme an religiösen Übungen oder Feierlichkeiten oder zur Benutzung einer religiösen Eidesformel gezwungen werden.</w:t>
      </w:r>
    </w:p>
    <w:p>
      <w:r>
        <w:rPr>
          <w:color w:val="555555"/>
          <w:sz w:val="17"/>
        </w:rPr>
        <w:t xml:space="preserve">Zitiervorschlag: Art 107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https://recht.nulegal.eu/gesetze/BayVerf/107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