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106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Jeder Bewohner Bayerns hat Anspruch auf eine angemessene Wohnung.</w:t>
      </w:r>
    </w:p>
    <w:p>
      <w:r>
        <w:t xml:space="preserve">(2) Die Förderung des Baues billiger Volkswohnungen ist Aufgabe des Staates und der Gemeinden.</w:t>
      </w:r>
    </w:p>
    <w:p>
      <w:r>
        <w:t xml:space="preserve">(3) Die Wohnung ist für jedermann eine Freistätte und unverletzlich.</w:t>
      </w:r>
    </w:p>
    <w:p>
      <w:r>
        <w:rPr>
          <w:color w:val="555555"/>
          <w:sz w:val="17"/>
        </w:rPr>
        <w:t xml:space="preserve">Zitiervorschlag: Art 106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https://recht.nulegal.eu/gesetze/BayVerf/106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