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Handlung kann nur dann mit Strafe belegt werden, wenn die Strafbarkeit gesetzlich bestimmt war, bevor die Handlung begangen wurde.</w:t>
      </w:r>
    </w:p>
    <w:p>
      <w:r>
        <w:t xml:space="preserve">(2) Niemand darf wegen derselben Tat zweimal gerichtlich bestraft werden.</w:t>
      </w:r>
    </w:p>
    <w:p>
      <w:r>
        <w:rPr>
          <w:color w:val="555555"/>
          <w:sz w:val="17"/>
        </w:rPr>
        <w:t xml:space="preserve">Zitiervorschlag: Art 104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