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103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Eigentumsrecht und Erbrecht werden gewährleistet.</w:t>
      </w:r>
    </w:p>
    <w:p>
      <w:r>
        <w:t xml:space="preserve">(2) Eigentumsordnung und Eigentumsgebrauch haben auch dem Gemeinwohl zu dienen.</w:t>
      </w:r>
    </w:p>
    <w:p>
      <w:r>
        <w:rPr>
          <w:color w:val="555555"/>
          <w:sz w:val="17"/>
        </w:rPr>
        <w:t xml:space="preserve">Zitiervorschlag: Art 103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https://recht.nulegal.eu/gesetze/BayVerf/103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