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Freiheit der Person ist unverletzlich.</w:t>
      </w:r>
    </w:p>
    <w:p>
      <w:r>
        <w:t xml:space="preserve">(2) Jeder von der öffentlichen Gewalt Festgenommene ist spätestens am Tage nach der Festnahme dem zuständigen Richter vorzuführen. Dieser hat dem Festgenommenen mitzuteilen, von welcher Behörde und aus welchen Gründen die Festnahme verfügt worden ist, und ihm Gelegenheit zu geben, Einwendungen gegen die Festnahme zu erheben. Er hat gegen den Festgenommenen entweder Haftbefehl zu erlassen oder ihn unverzüglich in Freiheit zu setzen.</w:t>
      </w:r>
    </w:p>
    <w:p>
      <w:r>
        <w:rPr>
          <w:color w:val="555555"/>
          <w:sz w:val="17"/>
        </w:rPr>
        <w:t xml:space="preserve">Zitiervorschlag: Art 102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https://recht.nulegal.eu/gesetze/BayVerf/102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