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BayVerdOG (Bayern)</w:t>
      </w:r>
    </w:p>
    <w:p>
      <w:r>
        <w:rPr>
          <w:color w:val="555555"/>
          <w:sz w:val="18"/>
        </w:rPr>
        <w:t xml:space="preserve">Gesetz über den Bayerischen Verdienstorden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Ausführung dieses Gesetzes erforderlichen Vorschriften erläßt die Staatsregierung in einem Ordensstatut. Dieses enthält auch Vorschriften über den Entzug des Ordens bei Unwürdigkeit des Inhabers.</w:t>
      </w:r>
    </w:p>
    <w:p>
      <w:r>
        <w:t xml:space="preserve">[Amtl. Anm.:] BayRS 1132-1-1-S</w:t>
      </w:r>
    </w:p>
    <w:p>
      <w:r>
        <w:rPr>
          <w:color w:val="555555"/>
          <w:sz w:val="17"/>
        </w:rPr>
        <w:t xml:space="preserve">Zitiervorschlag: Art 8 BayVerdOG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https://recht.nulegal.eu/gesetze/BayVerdOG/8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