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Orden wird vom Ministerpräsidenten verliehen.</w:t>
      </w:r>
    </w:p>
    <w:p>
      <w:r>
        <w:t xml:space="preserve">(2) Der Ministerpräsident erhält den Orden bei seinem Amtsantritt.</w:t>
      </w:r>
    </w:p>
    <w:p>
      <w:r>
        <w:rPr>
          <w:color w:val="555555"/>
          <w:sz w:val="17"/>
        </w:rPr>
        <w:t xml:space="preserve">Zitiervorschlag: Art 4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