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BayVSG (Bayern)</w:t>
      </w:r>
    </w:p>
    <w:p>
      <w:r>
        <w:rPr>
          <w:color w:val="555555"/>
          <w:sz w:val="18"/>
        </w:rPr>
        <w:t xml:space="preserve">Bayerisches Verfassungsschutzgesetz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Landtag des Freistaates Bayern hat das folgende Gesetz beschlossen, das hiermit bekannt gemacht wird:</w:t>
      </w:r>
    </w:p>
    <w:p>
      <w:r>
        <w:rPr>
          <w:color w:val="555555"/>
          <w:sz w:val="17"/>
        </w:rPr>
        <w:t xml:space="preserve">Zitiervorschlag: Eingangsformel BayVSG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https://recht.nulegal.eu/gesetze/BayVSG/eingangsformel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