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BayVSG (Bayern) — Nachvollziehbarkeit</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beim Landesamt geführten Dateien und Akten lassen die Verarbeitung personenbezogener Daten in ihrer zeitlichen Reihenfolge nachvollziehbar, vollständig und dauerhaft erkennen.</w:t>
      </w:r>
    </w:p>
    <w:p>
      <w:r>
        <w:t xml:space="preserve">(2) Die nach Abs. 1 über die Verarbeitung gespeicherten Daten werden ausschließlich verwendet zur Datenschutzkontrolle, zur Eigenüberwachung und um die Integrität und Sicherheit der personenbezogenen Daten sicherzustellen. Sie sind nach Abschluss der Kontrolle nach Art. 32 Abs. 2, spätestens nach drei Jahren zu löschen, es sei denn, dass besondere Gründe der Geheimhaltung oder des Geheimschutzes eine längere Aufbewahrung gebieten.</w:t>
      </w:r>
    </w:p>
    <w:p>
      <w:r>
        <w:rPr>
          <w:color w:val="555555"/>
          <w:sz w:val="17"/>
        </w:rPr>
        <w:t xml:space="preserve">Zitiervorschlag: Art 7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