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BayVSG (Bayern) — Anwendbarkeit des allgemeinen Datenschutzrechts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Erfüllung der gesetzlichen Aufgaben finden die §§ 2, 5 bis 7, 23 Abs. 1 Nr. 6, §§ 42, 46, 51 Abs. 1 bis 4, §§ 52 bis 54, 62, 64, 83 BDSG entsprechende Anwendung.</w:t>
      </w:r>
    </w:p>
    <w:p>
      <w:r>
        <w:t xml:space="preserve">(2) Der Landesbeauftragte für den Datenschutz kontrolliert die Einhaltung der Vorschriften über den Datenschutz mindestens alle zwei Jahre; die Vorschriften in Teil 2 Kapitel 5 Abschnitt 1 BayDSG finden entsprechende Anwendung.</w:t>
      </w:r>
    </w:p>
    <w:p>
      <w:r>
        <w:rPr>
          <w:color w:val="555555"/>
          <w:sz w:val="17"/>
        </w:rPr>
        <w:t xml:space="preserve">Zitiervorschlag: Art 32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