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BayVSG (Bayern) — Übermittlungsverbote</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Übermittlung von Informationen nach diesem Kapitel unterbleibt, wenn</w:t>
      </w:r>
    </w:p>
    <w:p>
      <w:r>
        <w:t xml:space="preserve">1. erkennbar ist, dass unter Berücksichtigung der Art der Informationen und ihrer Erhebung die schutzwürdigen Interessen des Betroffenen das Interesse der Allgemeinheit oder des Empfängers an der Übermittlung überwiegen,</w:t>
      </w:r>
    </w:p>
    <w:p>
      <w:r>
        <w:t xml:space="preserve">2. überwiegende Sicherheitsinteressen, insbesondere Gründe des Quellenschutzes oder des Schutzes operativer Maßnahmen, dies erfordern oder</w:t>
      </w:r>
    </w:p>
    <w:p>
      <w:r>
        <w:t xml:space="preserve">3. besondere gesetzliche Regelungen entgegenstehen; die Verpflichtung zur Wahrung gesetzlicher Geheimhaltungspflichten oder von Berufs- oder besonderen Amtsgeheimnissen, die nicht auf gesetzlichen Vorschriften beruhen, bleibt unberührt.</w:t>
      </w:r>
    </w:p>
    <w:p>
      <w:r>
        <w:t xml:space="preserve">(2) Ein Überwiegen im Sinne von Abs. 1 Nr. 1 und 2 liegt nicht vor, soweit die Übermittlung von Informationen erforderlich ist zur</w:t>
      </w:r>
    </w:p>
    <w:p>
      <w:r>
        <w:t xml:space="preserve">1. Abwehr einer gegenwärtigen Gefahr für den Bestand oder die Sicherheit des Bundes oder eines Landes oder für Leib, Leben oder Freiheit einer Person oder für Sachen, deren Erhaltung im besonderen öffentlichen Interesse geboten ist, oder</w:t>
      </w:r>
    </w:p>
    <w:p>
      <w:r>
        <w:t xml:space="preserve">2. Verfolgung einer besonders schweren Straftat,</w:t>
      </w:r>
    </w:p>
    <w:p>
      <w:r>
        <w:t xml:space="preserve">es sei denn, dass durch die Übermittlung eine unmittelbare Gefährdung von Leib oder Leben einer Person zu besorgen ist und diese Gefährdung nicht abgewendet werden kann. Die Entscheidung trifft in den Fällen von Satz 1 die Behördenleitung oder ihre Vertretung, die unverzüglich das Staatsministerium unterrichtet. Das Staatsministerium unterrichtet das Parlamentarische Kontrollgremium.</w:t>
      </w:r>
    </w:p>
    <w:p>
      <w:r>
        <w:rPr>
          <w:color w:val="555555"/>
          <w:sz w:val="17"/>
        </w:rPr>
        <w:t xml:space="preserve">Zitiervorschlag: Art 28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