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20 BayVSG (Bayern) — Parlamentarische Kontrolle</w:t>
      </w:r>
    </w:p>
    <w:p>
      <w:r>
        <w:rPr>
          <w:color w:val="555555"/>
          <w:sz w:val="18"/>
        </w:rPr>
        <w:t xml:space="preserve">Bayerisches Verfassungsschutzgesetz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Staatsministerium unterrichtet das Parlamentarische Kontrollgremium nach dem Parlamentarischen Kontrollgremium-Gesetz (PKGG)</w:t>
      </w:r>
    </w:p>
    <w:p>
      <w:r>
        <w:t xml:space="preserve">1. im Abstand von höchstens sechs Monaten durch einen Überblick insbesondere zu Anlass, Umfang, Dauer, Ergebnis und Kosten von Auskunftsersuchen nach den Art. 15 und 16 Abs. 1,</w:t>
      </w:r>
    </w:p>
    <w:p>
      <w:r>
        <w:t xml:space="preserve">2. in jährlichem Abstand durch einen Lagebericht zu</w:t>
      </w:r>
    </w:p>
    <w:p>
      <w:r>
        <w:t xml:space="preserve">a) Maßnahmen nach den Art. 9, 10, 12 und 19a,</w:t>
      </w:r>
    </w:p>
    <w:p>
      <w:r>
        <w:t xml:space="preserve">b) dem Einsatz von Verdeckten Mitarbeitern und Vertrauensleuten nach den Art. 18 und 19 und</w:t>
      </w:r>
    </w:p>
    <w:p>
      <w:r>
        <w:t xml:space="preserve">c) Übermittlungen nach Art. 26 Abs. 1, soweit die übermittelten Daten der Verfügungsberechtigung des Landesamts unterliegen.</w:t>
      </w:r>
    </w:p>
    <w:p>
      <w:r>
        <w:t xml:space="preserve">Das Parlamentarische Kontrollgremium erstattet dem Landtag jährlich einen Bericht über die Durchführung sowie Art, Umfang und Anordnungsgründe der Auskunftsersuchen und Maßnahmen nach den Art. 9, 10, 12, 15, 16 Abs. 1 und Art. 19a. Die Grundsätze des Art. 9 Abs. 1 PKGG sind zu beachten.</w:t>
      </w:r>
    </w:p>
    <w:p>
      <w:r>
        <w:t xml:space="preserve">(2) Das Staatsministerium erstattet dem Parlamentarischen Kontrollgremium des Bundes jährlich einen Bericht nach § 8b Abs. 10 Satz 1 BVerfSchG über die Durchführung von Maßnahmen nach Art. 15 Abs. 2 Nr. 2 und 3; dabei ist insbesondere ein Überblick über Anlass, Umfang, Dauer, Ergebnis und Kosten der durchgeführten Maßnahmen zu geben.</w:t>
      </w:r>
    </w:p>
    <w:p>
      <w:r>
        <w:rPr>
          <w:color w:val="555555"/>
          <w:sz w:val="17"/>
        </w:rPr>
        <w:t xml:space="preserve">Zitiervorschlag: Art 20 BayVSG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https://recht.nulegal.eu/gesetze/BayVSG/20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