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19a BayVSG (Bayern) — Längerfristige Observationen</w:t>
      </w:r>
    </w:p>
    <w:p>
      <w:r>
        <w:rPr>
          <w:color w:val="555555"/>
          <w:sz w:val="18"/>
        </w:rPr>
        <w:t xml:space="preserve">Bayerisches Verfassungsschutzgesetz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Landesamt darf außerhalb des Schutzbereichs von Art. 13 GG und Art. 106 Abs. 3 der Verfassung eine Person durchgehend länger als 48 Stunden oder an mehr als drei Tagen innerhalb einer Woche verdeckt auch mit technischen Mitteln planmäßig beobachten. Eine Durchführung der Maßnahme</w:t>
      </w:r>
    </w:p>
    <w:p>
      <w:r>
        <w:t xml:space="preserve">1. an nicht öffentlich zugänglichen Orten oder</w:t>
      </w:r>
    </w:p>
    <w:p>
      <w:r>
        <w:t xml:space="preserve">2. unter verdecktem Einsatz technischer Mittel, um</w:t>
      </w:r>
    </w:p>
    <w:p>
      <w:r>
        <w:t xml:space="preserve">a) Lichtbilderfolgen, Ton- oder Bildaufzeichnungen in der Öffentlichkeit herzustellen oder</w:t>
      </w:r>
    </w:p>
    <w:p>
      <w:r>
        <w:t xml:space="preserve">b) die Bewegung im Raum nachzuverfolgen,</w:t>
      </w:r>
    </w:p>
    <w:p>
      <w:r>
        <w:t xml:space="preserve">ist nur zur Aufklärung einer erheblich beobachtungsbedürftigen Bestrebung oder Tätigkeit zulässig. Eine Durchführung der Maßnahme</w:t>
      </w:r>
    </w:p>
    <w:p>
      <w:r>
        <w:t xml:space="preserve">1. durchgehend länger als eine Woche oder an mehr als 14 Tagen innerhalb eines Monats oder</w:t>
      </w:r>
    </w:p>
    <w:p>
      <w:r>
        <w:t xml:space="preserve">2. unter Einsatz technischer Mittel außerhalb der Öffentlichkeit</w:t>
      </w:r>
    </w:p>
    <w:p>
      <w:r>
        <w:t xml:space="preserve">ist nur zur Aufklärung einer gesteigert beobachtungsbedürftigen Bestrebung oder Tätigkeit zulässig. Zur Durchführung der Maßnahme kann das Landesamt den Betreiber einer Videoüberwachung nach § 4 Abs. 1 Satz 2 des Bundesdatenschutzgesetzes (BDSG) verpflichten, die Überwachung auszuleiten und Aufzeichnungen zu übermitteln. Die Vorschriften zum strafbewehrten Mitteilungsverbot nach § 17 Abs. 3 und § 18 G 10 sind entsprechend anzuwenden.</w:t>
      </w:r>
    </w:p>
    <w:p>
      <w:r>
        <w:t xml:space="preserve">(2) Über die Anordnung entscheidet in den Fällen des</w:t>
      </w:r>
    </w:p>
    <w:p>
      <w:r>
        <w:t xml:space="preserve">1. Abs. 1 Satz 1 die Behördenleitung oder ihre Vertretung in entsprechender Anwendung von § 10 Abs. 2 und 3 G 10,</w:t>
      </w:r>
    </w:p>
    <w:p>
      <w:r>
        <w:t xml:space="preserve">2. Abs. 1 Satz 2 und 3 das Gericht.</w:t>
      </w:r>
    </w:p>
    <w:p>
      <w:r>
        <w:t xml:space="preserve">Bei Gefahr im Verzug kann die zuständige Sachgebietsleitung oder deren Vertretung die Anordnung treffen; die Entscheidung nach Satz 1 ist unverzüglich nachzuholen. In den Fällen des Abs. 1 Satz 2 und 3 gilt für die Befristung der Anordnung § 10 Abs. 5 G 10 entsprechend. In den Fällen des Abs. 1 Satz 3 ist die Maßnahme den Betroffenen nach Art. 8b mitzuteilen.</w:t>
      </w:r>
    </w:p>
    <w:p>
      <w:r>
        <w:rPr>
          <w:color w:val="555555"/>
          <w:sz w:val="17"/>
        </w:rPr>
        <w:t xml:space="preserve">Zitiervorschlag: Art 19a BayVSG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https://recht.nulegal.eu/gesetze/BayVSG/19a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