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BayVSG (Bayern) — Auskunftsersuchen im Schutzbereich des Brief-, Post- und Fernmeldegeheimnisses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darf Auskünfte nach Art. 14 auch einholen, wenn hierzu anhand einer zu einem bestimmten Zeitpunkt zugewiesenen Internetprotokoll-Adresse automatisiert Verkehrsdaten ausgewertet werden müssen.</w:t>
      </w:r>
    </w:p>
    <w:p>
      <w:r>
        <w:t xml:space="preserve">(2) Das Landesamt darf Auskunft einholen bei</w:t>
      </w:r>
    </w:p>
    <w:p>
      <w:r>
        <w:t xml:space="preserve">1. denjenigen, die geschäftsmäßig Postdienstleistungen erbringen und daran mitwirken, zu den Umständen des Postverkehrs,</w:t>
      </w:r>
    </w:p>
    <w:p>
      <w:r>
        <w:t xml:space="preserve">2. denjenigen, die geschäftsmäßig Telekommunikationsdienste erbringen oder daran mitwirken, zu Verkehrsdaten nach § 9 Abs. 1 Satz 1 TTDSG und</w:t>
      </w:r>
    </w:p>
    <w:p>
      <w:r>
        <w:t xml:space="preserve">3. denjenigen, die geschäftsmäßig Telemedien im Sinne des Telemediengesetzes anbieten oder daran mitwirken, über</w:t>
      </w:r>
    </w:p>
    <w:p>
      <w:r>
        <w:t xml:space="preserve">a) Merkmale zur Identifikation des Nutzers von Telemedien,</w:t>
      </w:r>
    </w:p>
    <w:p>
      <w:r>
        <w:t xml:space="preserve">b) Angaben über Beginn und Ende sowie über den Umfang der jeweiligen Nutzung und</w:t>
      </w:r>
    </w:p>
    <w:p>
      <w:r>
        <w:t xml:space="preserve">c) Angaben über die vom Nutzer in Anspruch genommenen Telemedien,</w:t>
      </w:r>
    </w:p>
    <w:p>
      <w:r>
        <w:t xml:space="preserve">soweit dies zur Aufklärung einer erheblich beobachtungsbedürftigen Bestrebung oder Tätigkeit erforderlich ist.</w:t>
      </w:r>
    </w:p>
    <w:p>
      <w:r>
        <w:t xml:space="preserve">(3) Art. 14 Abs. 2 findet entsprechende Anwendung. § 3 Abs. 2 G 10 gilt entsprechend mit der Maßgabe, dass die Auskünfte auch über Personen eingeholt werden dürfen, die die Leistung für den Verdächtigen in Anspruch nehmen.</w:t>
      </w:r>
    </w:p>
    <w:p>
      <w:r>
        <w:rPr>
          <w:color w:val="555555"/>
          <w:sz w:val="17"/>
        </w:rPr>
        <w:t xml:space="preserve">Zitiervorschlag: Art 15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