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BayVSG (Bayern) — Ortung von Mobilfunkendgeräten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darf technische Mittel zur punktuellen Ermittlung des Standorts eines aktiv geschalteten Mobilfunkendgeräts oder zur Ermittlung der Geräte- oder Kartennummer einsetzen, soweit dies zur Aufklärung einer beobachtungsbedürftigen Bestrebung oder Tätigkeit erforderlich ist. Eine längerfristige Nachverfolgung der Bewegung im Raum ist nur nach Art. 19a zulässig.</w:t>
      </w:r>
    </w:p>
    <w:p>
      <w:r>
        <w:t xml:space="preserve">(2) Für Antrag und Anordnung gelten die §§ 9 und 10 Abs. 1 bis 3 G 10 entsprechend.</w:t>
      </w:r>
    </w:p>
    <w:p>
      <w:r>
        <w:rPr>
          <w:color w:val="555555"/>
          <w:sz w:val="17"/>
        </w:rPr>
        <w:t xml:space="preserve">Zitiervorschlag: Art 12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