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BayVSG (Bayern) — Verfahren bei Maßnahmen nach den Art. 9 und 10</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Einsatz technischer Mittel nach den Art. 9 und 10 bedarf einer richterlichen Anordnung. Bei Gefahr im Verzug kann die Behördenleitung oder ihre Vertretung die Anordnung treffen; eine richterliche Entscheidung ist unverzüglich nachzuholen.</w:t>
      </w:r>
    </w:p>
    <w:p>
      <w:r>
        <w:t xml:space="preserve">(2) Die Anordnung ist auf höchstens einen Monat zu befristen. Verlängerungen um jeweils nicht mehr als einen weiteren Monat sind zulässig, soweit die Voraussetzungen der Anordnung fortbestehen. Die erhobenen personenbezogenen Daten sind unverzüglich zur richterlichen Entscheidung über die Verwertbarkeit vorzulegen, soweit sie nicht unmittelbar nach der Erhebung ohne inhaltliche Kenntnisnahme gelöscht wurden. Für die Pflicht des Landesamts zur Prüfung, Kennzeichnung und Löschung ist § 4 Abs. 1, 2 Satz 1 und 2 sowie Abs. 3 des Artikel 10-Gesetzes (G 10) und für die Durchführung § 11 Abs. 1 und 2 G 10 entsprechend anzuwenden; für den Verzicht auf die Kennzeichnung bei der Übermittlung gilt Abs. 1 entsprechend. Die Maßnahme ist den Betroffenen nach Art. 8b mitzuteilen.</w:t>
      </w:r>
    </w:p>
    <w:p>
      <w:r>
        <w:t xml:space="preserve">(3) Dient der Einsatz technischer Mittel nach den Art. 9 und 10 ausschließlich dem Schutz der für den Verfassungsschutz bei einem Einsatz in Wohnungen tätigen Personen, erfolgt die Anordnung abweichend von Abs. 1 durch die Behördenleitung oder ihre Vertretung. Eine anderweitige Verwendung der hierbei erlangten Erkenntnisse ist nur zulässig, wenn zuvor der Richter festgestellt hat, dass die Maßnahme rechtmäßig ist und die Voraussetzungen des Art. 9 Abs. 1 Satz 1 vorliegen; Abs. 1 Satz 2 gilt entsprechend. Im Übrigen sind die Daten unverzüglich zu löschen.</w:t>
      </w:r>
    </w:p>
    <w:p>
      <w:r>
        <w:t xml:space="preserve">(4) Dient der Zugriff auf ein informationstechnisches System nach Art. 10 ausschließlich der Aufklärung eines gegenwärtigen elektronischen Angriffs, bei dem hinreichende tatsächliche Anhaltspunkte dafür bestehen, dass er durch, im Auftrag oder zur Unterstützung einer fremden Macht durchgeführt wird, bedarf es abweichend von Abs. 2 Satz 3 keiner richterlichen Entscheidung über die Verwertbarkeit, sofern die Weiterverarbeitung der Daten darauf beschränkt bleibt,</w:t>
      </w:r>
    </w:p>
    <w:p>
      <w:r>
        <w:t xml:space="preserve">1. Informationen über den Einsatz von Schadprogrammen oder andere Angriffsmethoden zu sammeln und auszuwerten,</w:t>
      </w:r>
    </w:p>
    <w:p>
      <w:r>
        <w:t xml:space="preserve">2. Ziele des Angriffs zu informieren.</w:t>
      </w:r>
    </w:p>
    <w:p>
      <w:r>
        <w:t xml:space="preserve">Eine anderweitige Verwendung der erhobenen Daten ist nur nach richterlicher Entscheidung zulässig. Liegen die Voraussetzungen des Satzes 1 oder 2 nicht vor, sind die erhobenen Daten unverzüglich ohne inhaltliche Kenntnisnahme unter Aufsicht eines Bediensteten, der die Befähigung zum Richteramt hat, zu löschen; § 4 Abs. 1 Satz 3 bis 7 G 10 ist entsprechend anzuwenden.</w:t>
      </w:r>
    </w:p>
    <w:p>
      <w:r>
        <w:rPr>
          <w:color w:val="555555"/>
          <w:sz w:val="17"/>
        </w:rPr>
        <w:t xml:space="preserve">Zitiervorschlag: Art 11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