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BayV106BV (Bayern)</w:t>
      </w:r>
    </w:p>
    <w:p>
      <w:r>
        <w:rPr>
          <w:color w:val="555555"/>
          <w:sz w:val="18"/>
        </w:rPr>
        <w:t xml:space="preserve">Verordnung Nr. 106 über die Aufgaben des Bayerischen Bauernverbands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Der Bayerische Bauernverband ist auf demokratischen Grundsätzen aufgebaut und eine freie und freiwillige Organisation.</w:t>
      </w:r>
    </w:p>
    <w:p>
      <w:r>
        <w:t xml:space="preserve">(2) Der Bauernverband soll vor der Regelung wichtiger, die Landwirtschaft berührender Angelegenheiten gehört werden; er ist berechtigt, Anträge an die Staatsregierung zu stellen. Diese wird solche Anträge selbst entscheiden oder der Volksvertretung zur Entscheidung vorlegen.</w:t>
      </w:r>
    </w:p>
    <w:p>
      <w:r>
        <w:rPr>
          <w:color w:val="555555"/>
          <w:sz w:val="17"/>
        </w:rPr>
        <w:t xml:space="preserve">Zitiervorschlag: § 5 BayV106BV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https://recht.nulegal.eu/gesetze/BayV106BV/5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