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BayV106BV (Bayern)</w:t>
      </w:r>
    </w:p>
    <w:p>
      <w:r>
        <w:rPr>
          <w:color w:val="555555"/>
          <w:sz w:val="18"/>
        </w:rPr>
        <w:t xml:space="preserve">Verordnung Nr. 106 über die Aufgaben des Bayerischen Bauernverbands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Bayerische Bauernverband kann mit weiteren Aufgaben betraut werden; er ist jedoch nicht ermächtigt, irgendwelche Aufgaben behördlicher Art durchzuführen, die üblicherweise Obliegenheiten des Freistaates Bayern sind.</w:t>
      </w:r>
    </w:p>
    <w:p>
      <w:r>
        <w:rPr>
          <w:color w:val="555555"/>
          <w:sz w:val="17"/>
        </w:rPr>
        <w:t xml:space="preserve">Zitiervorschlag: § 3 BayV106BV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https://recht.nulegal.eu/gesetze/BayV106BV/3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