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BayUniKlinG (Bayern) — Aufgaben des Aufsichtsrats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Aufsichtsrat entscheidet in grundsätzlichen Angelegenheiten des Klinikums und überwacht die Tätigkeit des Klinikumsvorstands; er trägt insbesondere dafür Sorge, dass das Klinikum die ihm zur Gewährleistung von Forschung und Lehre obliegenden Aufgaben erfüllt. Der Aufsichtsrat hat ein umfassendes Informations-, Einsichts- und Prüfungsrecht.</w:t>
      </w:r>
    </w:p>
    <w:p>
      <w:r>
        <w:t xml:space="preserve">(2) Der Aufsichtsrat entscheidet über die Struktur- und Entwicklungsplanung des Klinikums und nimmt insbesondere folgende weitere Aufgaben wahr:</w:t>
      </w:r>
    </w:p>
    <w:p>
      <w:r>
        <w:t xml:space="preserve">1. Er bestellt die Mitglieder des Klinikumsvorstands gemäß Art. 9 Abs. 1 Nr. 1 bis 3 sowie die stellvertretenden Mitglieder und beruft sie ab;</w:t>
      </w:r>
    </w:p>
    <w:p>
      <w:r>
        <w:t xml:space="preserve">2. er entscheidet über die Vergütung und Ausgestaltung der Verträge für die Mitglieder des Klinikumsvorstands;</w:t>
      </w:r>
    </w:p>
    <w:p>
      <w:r>
        <w:t xml:space="preserve">3. er beschließt über den Wirtschaftsplan;</w:t>
      </w:r>
    </w:p>
    <w:p>
      <w:r>
        <w:t xml:space="preserve">4. er entscheidet über die Feststellung des Jahresabschlusses und die Verwendung des Jahresergebnisses;</w:t>
      </w:r>
    </w:p>
    <w:p>
      <w:r>
        <w:t xml:space="preserve">5. er entscheidet über die Entlastung des Klinikumsvorstands;</w:t>
      </w:r>
    </w:p>
    <w:p>
      <w:r>
        <w:t xml:space="preserve">6. er bestellt die Abschlussprüferin oder den Abschlussprüfer;</w:t>
      </w:r>
    </w:p>
    <w:p>
      <w:r>
        <w:t xml:space="preserve">7. er entscheidet über große Baumaßnahmen, soweit das Universitätsklinikum Bauherr ist, und entscheidet über das Einvernehmen zur Übertragung der Bauherreneigenschaft nach Art. 5 Abs. 4 Satz 2;</w:t>
      </w:r>
    </w:p>
    <w:p>
      <w:r>
        <w:t xml:space="preserve">8. er entscheidet über Anträge auf Erwerb, Veräußerung und Belastung von Grundstücken und grundstücksgleichen Rechten ab einer Wertgrenze von 250.000,– € im Einzelfall;</w:t>
      </w:r>
    </w:p>
    <w:p>
      <w:r>
        <w:t xml:space="preserve">9. er genehmigt den Erlass, die Änderung und die Aufhebung von Satzungen.</w:t>
      </w:r>
    </w:p>
    <w:p>
      <w:r>
        <w:t xml:space="preserve">(3) Der Zustimmung des Aufsichtsrats bedürfen außergewöhnliche, über den Rahmen des laufenden Geschäftsbetriebs hinausgehende Rechtsgeschäfte, Maßnahmen und Regelungen. Dazu gehören insbesondere:</w:t>
      </w:r>
    </w:p>
    <w:p>
      <w:r>
        <w:t xml:space="preserve">1. Abschluss, Änderung und Aufhebung von Miet- und Pachtverträgen auf eine Zeitdauer von über fünf Jahren oder einer durch den Aufsichtsrat bestimmten Wertgrenze,</w:t>
      </w:r>
    </w:p>
    <w:p>
      <w:r>
        <w:t xml:space="preserve">2. Übernahme von Bürgschaften und Garantien außerhalb der vom Aufsichtsrat allgemein bestimmten Grenzen,</w:t>
      </w:r>
    </w:p>
    <w:p>
      <w:r>
        <w:t xml:space="preserve">3. Aufnahme von Kassenverstärkungskrediten sowie Gewährung von Darlehen außerhalb der vom Aufsichtsrat allgemein bestimmten Grenzen,</w:t>
      </w:r>
    </w:p>
    <w:p>
      <w:r>
        <w:t xml:space="preserve">4. Gründung von und Beteiligung an Unternehmen, deren Bilanzsumme mehr als 100 000 € beträgt oder bei Unternehmensgründungen voraussichtlich betragen wird; Beteiligungen mit geringerer tatsächlicher oder voraussichtlicher Bilanzsumme sind dem Aufsichtsrat anzuzeigen,</w:t>
      </w:r>
    </w:p>
    <w:p>
      <w:r>
        <w:t xml:space="preserve">5. Abschluss von Zielvereinbarungen mit dem Staatsministerium.</w:t>
      </w:r>
    </w:p>
    <w:p>
      <w:r>
        <w:t xml:space="preserve">Der Aufsichtsrat kann seine Zustimmung für bestimmte Arten von Geschäften allgemein erteilen.</w:t>
      </w:r>
    </w:p>
    <w:p>
      <w:r>
        <w:rPr>
          <w:color w:val="555555"/>
          <w:sz w:val="17"/>
        </w:rPr>
        <w:t xml:space="preserve">Zitiervorschlag: Art 8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