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30 BayUniKlinG (Bayern) — Datenschutz</w:t>
      </w:r>
    </w:p>
    <w:p>
      <w:r>
        <w:rPr>
          <w:color w:val="555555"/>
          <w:sz w:val="18"/>
        </w:rPr>
        <w:t xml:space="preserve">Bayerisches Universitätsklinikagesetz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Verarbeitung von personenbezogenen Daten durch Mitarbeiterinnen und Mitarbeiter der Stiftung oder für die Stiftung tätiger Angehöriger der in Art. 20 Abs. 1 Satz 2 genannten Institutionen zu Forschungszwecken gilt Art. 16 Abs. 3 Satz 2 bis 5 entsprechend.</w:t>
      </w:r>
    </w:p>
    <w:p>
      <w:r>
        <w:t xml:space="preserve">(2) Für die Übermittlung von personenbezogenen Daten zu Zwecken der wissenschaftlichen Forschung zwischen der Stiftung und den in Art. 20 Abs. 1 Satz 2 genannten Institutionen sowie Dritten gilt Art. 16 Abs. 4 entsprechend.</w:t>
      </w:r>
    </w:p>
    <w:p>
      <w:r>
        <w:rPr>
          <w:color w:val="555555"/>
          <w:sz w:val="17"/>
        </w:rPr>
        <w:t xml:space="preserve">Zitiervorschlag: Art 30 BayUniKlinG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https://recht.nulegal.eu/gesetze/BayUniKlinG/30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