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BayUniKlinG (Bayern) — Aufgaben des Stiftungsrats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Stiftungsrat überwacht die Tätigkeit des Stiftungsvorstands und entscheidet in allen Angelegenheiten von besonderer oder grundsätzlicher Bedeutung. Näheres dazu regelt die Satzung.</w:t>
      </w:r>
    </w:p>
    <w:p>
      <w:r>
        <w:t xml:space="preserve">(2) Der oder die Vorsitzende des Stiftungsrats vertritt die Stiftung bei Rechtsgeschäften mit dem Stiftungsvorstand oder einzelnen Mitgliedern des Stiftungsvorstands.</w:t>
      </w:r>
    </w:p>
    <w:p>
      <w:r>
        <w:rPr>
          <w:color w:val="555555"/>
          <w:sz w:val="17"/>
        </w:rPr>
        <w:t xml:space="preserve">Zitiervorschlag: Art 26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