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25 BayUniKlinG (Bayern) — Zusammensetzung des Stiftungsrats</w:t>
      </w:r>
    </w:p>
    <w:p>
      <w:r>
        <w:rPr>
          <w:color w:val="555555"/>
          <w:sz w:val="18"/>
        </w:rPr>
        <w:t xml:space="preserve">Bayerisches Universitätsklinikagesetz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Dem Stiftungsrat gehören an:</w:t>
      </w:r>
    </w:p>
    <w:p>
      <w:r>
        <w:t xml:space="preserve">1. die Staatsministerin oder der Staatsminister für Wissenschaft und Kunst sowie eine Vertreterin oder ein Vertreter des Staatsministeriums für Wirtschaft, Landesentwicklung und Energie,</w:t>
      </w:r>
    </w:p>
    <w:p>
      <w:r>
        <w:t xml:space="preserve">2. die Präsidentinnen oder Präsidenten der Ludwig-Maximilians-Universität München und der Technischen Universität München sowie</w:t>
      </w:r>
    </w:p>
    <w:p>
      <w:r>
        <w:t xml:space="preserve">3. die wissenschaftliche Geschäftsführerin oder der wissenschaftliche Geschäftsführer des Helmholtz Zentrums München.</w:t>
      </w:r>
    </w:p>
    <w:p>
      <w:r>
        <w:t xml:space="preserve">(2) Die Staatsministerin oder der Staatsminister für Wissenschaft und Kunst führt den Vorsitz.</w:t>
      </w:r>
    </w:p>
    <w:p>
      <w:r>
        <w:t xml:space="preserve">(3) Die Mitglieder des Stiftungsrats können sich durch eine vom jeweiligen Mitglied benannte und einer der in Abs. 1 genannten Institutionen angehörende Person vertreten lassen.</w:t>
      </w:r>
    </w:p>
    <w:p>
      <w:r>
        <w:rPr>
          <w:color w:val="555555"/>
          <w:sz w:val="17"/>
        </w:rPr>
        <w:t xml:space="preserve">Zitiervorschlag: Art 25 BayUniKlinG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https://recht.nulegal.eu/gesetze/BayUniKlinG/25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