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BayUniKlinG (Bayern) — Stiftungsorgane</w:t>
      </w:r>
    </w:p>
    <w:p>
      <w:r>
        <w:rPr>
          <w:color w:val="555555"/>
          <w:sz w:val="18"/>
        </w:rPr>
        <w:t xml:space="preserve">Bayerisches Universitätsklinikagesetz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Organe der Stiftung sind:</w:t>
      </w:r>
    </w:p>
    <w:p>
      <w:r>
        <w:t xml:space="preserve">1. der Stiftungsvorstand und</w:t>
      </w:r>
    </w:p>
    <w:p>
      <w:r>
        <w:t xml:space="preserve">2. der Stiftungsrat.</w:t>
      </w:r>
    </w:p>
    <w:p>
      <w:r>
        <w:rPr>
          <w:color w:val="555555"/>
          <w:sz w:val="17"/>
        </w:rPr>
        <w:t xml:space="preserve">Zitiervorschlag: Art 23 BayUniKlinG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https://recht.nulegal.eu/gesetze/BayUniKlinG/23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