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BayUniKlinG (Bayern) — Anwendung hochschul- und krankenhausrechtlicher Vorschriften</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dieses Gesetz nichts Abweichendes regelt, gelten die Bestimmungen der Kapitel 1 bis 4 des Teils 2 des Bayerischen Hochschulinnovationsgesetzes entsprechend.</w:t>
      </w:r>
    </w:p>
    <w:p>
      <w:r>
        <w:t xml:space="preserve">(2) Art. 27 BayKrG gilt entsprechend.</w:t>
      </w:r>
    </w:p>
    <w:p>
      <w:r>
        <w:t xml:space="preserve">(3) Personenbezogene Daten müssen im Rahmen eines Behandlungsverhältnisses bei dem oder der Behandelten von am Klinikum oder an der zugehörigen Universität tätigen Ärztinnen und Ärzten gemäß den Vorgaben des Bayerischen Krankenhausgesetzes verarbeitet werden. Sie dürfen auch an andere Angehörige des wissenschaftlichen Personals des Klinikums oder der Universität, der das Klinikum im Sinne des Art. 19 Abs. 1 und des Art. 53 Abs. 1 BayHIG zugeordnet ist, übermittelt werden und von diesen auch zu eigenen Forschungszwecken verarbeitet werden, wenn</w:t>
      </w:r>
    </w:p>
    <w:p>
      <w:r>
        <w:t xml:space="preserve">1. die Daten ohne Personenbezug offengelegt werden und die identifizierenden Daten gesondert aufbewahrt und besonders geschützt werden,</w:t>
      </w:r>
    </w:p>
    <w:p>
      <w:r>
        <w:t xml:space="preserve">2. im Falle, dass der Forschungszweck die Möglichkeit der Zuordnung erfordert, die betroffene Person eingewilligt hat oder</w:t>
      </w:r>
    </w:p>
    <w:p>
      <w:r>
        <w:t xml:space="preserve">3. im Falle, dass weder auf die Zuordnungsmöglichkeit verzichtet noch die Einwilligung mit verhältnismäßigem Aufwand eingeholt werden kann, das öffentliche Interesse an der Durchführung des Forschungsvorhabens die schützenswerten Interessen der betroffenen Person erheblich überwiegt und der Forschungszweck nicht auf andere Weise zu erreichen ist.</w:t>
      </w:r>
    </w:p>
    <w:p>
      <w:r>
        <w:t xml:space="preserve">Die personenbezogenen Daten sind, soweit dies nach dem Forschungszweck möglich ist und keinen im Verhältnis zu dem angestrebten Schutzzweck unverhältnismäßigen Aufwand erfordert, zu anonymisieren oder, soweit eine Anonymisierung noch nicht möglich ist, zu pseudonymisieren. Das Klinikum gewährleistet durch angemessene und spezifische Maßnahmen im Sinne des Art. 9 Abs. 2 Buchst. j DSGVO, dass die Daten auch, soweit sie noch nicht anonymisiert oder pseudonymisiert wurden, entsprechend der Datenschutz-Grundverordnung verarbeitet werden und dass dies auch nachträglich überprüfbar ist. Die in den Art. 15, 16, 18 und 21 DSGVO vorgesehenen Rechte der Betroffenen sind insoweit beschränkt, als durch sie voraussichtlich die Verwirklichung der Forschungszwecke unmöglich gemacht oder ernsthaft beeinträchtigt wird und die Beschränkung für die Forschungszwecke notwendig ist. Art. 9 Abs. 3 DSGVO bleibt unberührt.</w:t>
      </w:r>
    </w:p>
    <w:p>
      <w:r>
        <w:t xml:space="preserve">(4) Für die Übermittlung von personenbezogenen Daten zu Zwecken der wissenschaftlichen Forschung zwischen verschiedenen Universitätsklinika und Universitäten sowie zwischen Universitätsklinika und sonstigen Dritten, die eine den Anforderungen der Datenschutz-Grundverordnung genügende Datenverarbeitung gewährleisten, gilt Abs. 3 entsprechend. Eine Übermittlung personenbezogener Daten an private Dritte im Sinne des Satzes 1 in anderer als anonymisierter Form ist nur zulässig, wenn für das Forschungsvorhaben der oder des Dritten die Betroffenen in die Übermittlung eingewilligt haben und zuvor die oder der zuständige Datenschutzbeauftragte beteiligt wurde.</w:t>
      </w:r>
    </w:p>
    <w:p>
      <w:r>
        <w:rPr>
          <w:color w:val="555555"/>
          <w:sz w:val="17"/>
        </w:rPr>
        <w:t xml:space="preserve">Zitiervorschlag: Art 16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