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14 BayUniKlinG (Bayern) — Zusammenarbeit mit der Medizinischen Fakultät</w:t>
      </w:r>
    </w:p>
    <w:p>
      <w:r>
        <w:rPr>
          <w:color w:val="555555"/>
          <w:sz w:val="18"/>
        </w:rPr>
        <w:t xml:space="preserve">Bayerisches Universitätsklinikagesetz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Entscheidung, welcher Anteil des staatlichen Zuschusses für Forschung und Lehre und welcher Anteil für sonstige Trägeraufgaben verwendet wird, trifft der Dekan oder die Dekanin im Einvernehmen mit dem Klinikumsvorstand.</w:t>
      </w:r>
    </w:p>
    <w:p>
      <w:r>
        <w:t xml:space="preserve">(2) Über die Verteilung und Verwendung der Mittel für Forschung und Lehre gemäß Art. 3 Abs. 2 Satz 2 entscheidet der Dekan oder die Dekanin im Benehmen mit dem Klinikumsvorstand nach Maßgabe der von der Medizinischen Fakultät aufzustellenden Grundsätze; Art. 11 Abs. 1 Satz 3 und 4 BayHIG bleibt unberührt. Die Entscheidung über die Verwendung der Mittel für die sonstigen Trägeraufgaben trifft der Klinikumsvorstand im Benehmen mit dem Dekan oder der Dekanin.</w:t>
      </w:r>
    </w:p>
    <w:p>
      <w:r>
        <w:t xml:space="preserve">(3) Das Klinikum ist zur Wahrnehmung dieser Aufgaben verpflichtet. Dem Universitätsklinikum obliegt die Personal- und Wirtschaftsverwaltung der Medizinischen Fakultät. Das Weitere regelt die Verordnung gemäß Art. 12 Abs. 3.</w:t>
      </w:r>
    </w:p>
    <w:p>
      <w:r>
        <w:t xml:space="preserve">(4) Soweit Entscheidungen des Klinikums Auswirkungen auf den Bereich von Forschung und Lehre haben, werden diese im Einvernehmen mit der Medizinischen Fakultät getroffen.</w:t>
      </w:r>
    </w:p>
    <w:p>
      <w:r>
        <w:t xml:space="preserve">(5) Kommen das Einvernehmen gemäß Abs. 1 oder 4 oder eine Einigung über die Wahrnehmung der Verwaltungsaufgaben für die Medizinische Fakultät durch das Klinikum gemäß Abs. 3 nicht zustande, entscheidet der Aufsichtsrat.</w:t>
      </w:r>
    </w:p>
    <w:p>
      <w:r>
        <w:rPr>
          <w:color w:val="555555"/>
          <w:sz w:val="17"/>
        </w:rPr>
        <w:t xml:space="preserve">Zitiervorschlag: Art 14 BayUniKlinG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https://recht.nulegal.eu/gesetze/BayUniKlinG/14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