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BayUebertrGLKr (Bayern)</w:t>
      </w:r>
    </w:p>
    <w:p>
      <w:r>
        <w:rPr>
          <w:color w:val="555555"/>
          <w:sz w:val="18"/>
        </w:rPr>
        <w:t xml:space="preserve">Gesetz zur Übertragung staatlicher Kassengeschäfte auf die Landkreise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Gesetz ist dringlich. Es tritt am 1. April 1960 in Kraft.</w:t>
      </w:r>
    </w:p>
    <w:p>
      <w:r>
        <w:t xml:space="preserve">[Amtl. Anm.:] Betrifft die ursprüngliche Fassung vom 22. Januar 1960 (GVBl. S. 2)</w:t>
      </w:r>
    </w:p>
    <w:p>
      <w:r>
        <w:rPr>
          <w:color w:val="555555"/>
          <w:sz w:val="17"/>
        </w:rPr>
        <w:t xml:space="preserve">Zitiervorschlag: Art 4 BayUebertrGLKr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https://recht.nulegal.eu/gesetze/BayUebertrGLKr/4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