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BayUVollzG (Bayern)</w:t>
      </w:r>
    </w:p>
    <w:p>
      <w:r>
        <w:rPr>
          <w:color w:val="555555"/>
          <w:sz w:val="18"/>
        </w:rPr>
        <w:t xml:space="preserve">Bayerisches Untersuchungshaftvollzugsgesetz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Der Landtag des Freistaates Bayern hat das folgende Gesetz beschlossen, das hiermit bekannt gemacht wird:</w:t>
      </w:r>
    </w:p>
    <w:p>
      <w:r>
        <w:rPr>
          <w:color w:val="555555"/>
          <w:sz w:val="17"/>
        </w:rPr>
        <w:t xml:space="preserve">Zitiervorschlag: Eingangsformel BayUVollzG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https://recht.nulegal.eu/gesetze/BayUVollzG/eingangsformel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