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39 BayUVollzG (Bayern) — Regelungsumfang</w:t>
      </w:r>
    </w:p>
    <w:p>
      <w:r>
        <w:rPr>
          <w:color w:val="555555"/>
          <w:sz w:val="18"/>
        </w:rPr>
        <w:t xml:space="preserve">Bayerisches Untersuchungshaftvollzugsgesetz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Dieses Gesetz ersetzt im Freistaat Bayern</w:t>
      </w:r>
    </w:p>
    <w:p>
      <w:r>
        <w:t xml:space="preserve">1. § 177 StVollzG,</w:t>
      </w:r>
    </w:p>
    <w:p>
      <w:r>
        <w:t xml:space="preserve">2. § 178 Abs. 1 StVollzG, soweit dort der unmittelbare Zwang im Vollzug der Untersuchungshaft geregelt ist.</w:t>
      </w:r>
    </w:p>
    <w:p>
      <w:r>
        <w:rPr>
          <w:color w:val="555555"/>
          <w:sz w:val="17"/>
        </w:rPr>
        <w:t xml:space="preserve">Zitiervorschlag: Art 39 BayUVollzG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https://recht.nulegal.eu/gesetze/BayUVollzG/39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