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BayUPZV (Bayern)</w:t>
      </w:r>
    </w:p>
    <w:p>
      <w:r>
        <w:rPr>
          <w:color w:val="555555"/>
          <w:sz w:val="18"/>
        </w:rPr>
        <w:t xml:space="preserve">Unterrichtspflichtzeitverordnung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August 2018 in Kraft.</w:t>
      </w:r>
    </w:p>
    <w:p>
      <w:r>
        <w:t xml:space="preserve">(2) Mit Ablauf des 31. Juli 2018 tritt die Verordnung über die Benutzungsgebühren der Bayerischen Landesschulen für Blinde, Gehörlose und Körperbehinderte vom 10. Juli 1986 (GVBl. S. 226, BayRS 2233-5-K), die zuletzt durch Verordnung vom 17. Juli 1996 (GVBl. S. 333) geändert worden ist, außer Kraft.</w:t>
      </w:r>
    </w:p>
    <w:p>
      <w:r>
        <w:rPr>
          <w:color w:val="555555"/>
          <w:sz w:val="17"/>
        </w:rPr>
        <w:t xml:space="preserve">Zitiervorschlag: § 2 BayUPZV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https://recht.nulegal.eu/gesetze/BayUPZV/2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